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EC" w:rsidRDefault="004A61EC" w:rsidP="004A61EC">
      <w:pPr>
        <w:pStyle w:val="zaglavlje"/>
        <w:ind w:left="951" w:right="2853"/>
        <w:rPr>
          <w:rFonts w:ascii="Arial" w:hAnsi="Arial" w:cs="Arial"/>
          <w:color w:val="000000"/>
          <w:sz w:val="20"/>
          <w:szCs w:val="20"/>
        </w:rPr>
      </w:pPr>
      <w:r>
        <w:rPr>
          <w:rFonts w:ascii="Arial" w:hAnsi="Arial" w:cs="Arial"/>
          <w:color w:val="000000"/>
          <w:sz w:val="20"/>
          <w:szCs w:val="20"/>
        </w:rPr>
        <w:t>Na temelju članka 10. Zakona o lokalnoj i područnoj (regionalnoj) samoupravi (Narodne novine broj 33/01), te članka 9. Statuta Općine Brckovljani (Službeni glasnik Općine Brckovljani broj 5/01), Općinsko vijeće Općine Brckovljani na 18. sjednici održanoj 19.05.2004. godine donijelo je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O D L U K U</w:t>
      </w:r>
      <w:r>
        <w:rPr>
          <w:rFonts w:ascii="Arial" w:hAnsi="Arial" w:cs="Arial"/>
          <w:b/>
          <w:bCs/>
          <w:color w:val="000000"/>
          <w:sz w:val="20"/>
          <w:szCs w:val="20"/>
        </w:rPr>
        <w:br/>
        <w:t> O GRBU l ZASTAVI OPĆINE BRCKOVLJANI</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I.</w:t>
      </w:r>
      <w:r>
        <w:rPr>
          <w:rStyle w:val="apple-converted-space"/>
          <w:rFonts w:ascii="Arial" w:hAnsi="Arial" w:cs="Arial"/>
          <w:b/>
          <w:bCs/>
          <w:color w:val="000000"/>
          <w:sz w:val="20"/>
          <w:szCs w:val="20"/>
          <w:lang w:val="en-US"/>
        </w:rPr>
        <w:t> </w:t>
      </w:r>
      <w:r>
        <w:rPr>
          <w:rFonts w:ascii="Arial" w:hAnsi="Arial" w:cs="Arial"/>
          <w:b/>
          <w:bCs/>
          <w:color w:val="000000"/>
          <w:sz w:val="20"/>
          <w:szCs w:val="20"/>
        </w:rPr>
        <w:t>OPĆE ODREDBE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Ovom Odlukom uređuje se izgled grba i zastave Općine Brckovljani, te načini zaštita njihove uporabe.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2.</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Grbom i zastavom Općine Brckovljani predstavlja se Općina Brckovljani.</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3.</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Grb i zastava Općine Brckovljani rabe se sukladno odredbama ove Odluke, te obliku i opisu utvrđenim ovom Odlukom. U grbu i zastavi Općine Brckovljani ne smije se ništa mijenjati.</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4.</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Uporaba grba i zastave Općina Brckovljani slobodna je u umjetničkom i glazbenom stvaralaštvu i u odgojno nastavne svrhe, a dijelovi grba ili zastave mogu se rabiti kao sastavni dio drugih amblema odnosno znakova radi promicanja interesa Općine Brckovljani, a sve pod uvjetom da im sadržaj ne predstavlja uvredljiv i nedoličan prikaz Općine Brckovljani.</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5.</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Zabranjeno je javno isticati dotrajali, neuredni, poderani ili na drugi način oštećen grb i zastavu Općine Brckovljani.</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II.</w:t>
      </w:r>
      <w:r>
        <w:rPr>
          <w:rStyle w:val="apple-converted-space"/>
          <w:rFonts w:ascii="Arial" w:hAnsi="Arial" w:cs="Arial"/>
          <w:b/>
          <w:bCs/>
          <w:color w:val="000000"/>
          <w:sz w:val="20"/>
          <w:szCs w:val="20"/>
          <w:lang w:val="en-US"/>
        </w:rPr>
        <w:t> </w:t>
      </w:r>
      <w:r>
        <w:rPr>
          <w:rFonts w:ascii="Arial" w:hAnsi="Arial" w:cs="Arial"/>
          <w:b/>
          <w:bCs/>
          <w:color w:val="000000"/>
          <w:sz w:val="20"/>
          <w:szCs w:val="20"/>
          <w:lang w:val="en-US"/>
        </w:rPr>
        <w:t>GRB OPĆINE BRCKOVLJANI</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6.</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Grb se sastoji od štita sa dva polja - žute i zelene boje dijagonalno odvojenih na kojima se u sredini nalazi križ bijele boje koji simbolizira templare kao povijesno obilježje područja Općine Brckovljani.</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Preko križa postavljen je kalež tamnije žute boje koji predstavlja kvalitetno vinogorje ovog kraja. U gornjem desnom uglu, na polju žute boje, nalazi se klas žita sa trinaest zrna, a u donjem lijevom zelenom polju nalazi se grozd sa trinaest bobica.</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b/>
          <w:bCs/>
          <w:color w:val="000000"/>
          <w:sz w:val="20"/>
          <w:szCs w:val="20"/>
        </w:rPr>
        <w:t>Grb Općine Brckovljani može se rabiti: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1. u sadržajima pečata i žigova Općinskog vijeća, Općinskog poglavarstva, kada se rješava u predmetima iz djelokruga Općine Brckovljani kao jedinice lokalne samouprave</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2. u zaglavlju službenih akata Općine Brckovljani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3. u sadržaju natpisne ploče Općine Brckovljani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4. na diplomama, poveljama i priznanjima koje dodjeljuje Općina Brckovljani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5. za potrebe pravnih osoba, ako je to od interesa za Općinu i u skladu s ovom Odlukom.</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 III. ZASTAVA OPĆINE BRCKOVLJANI</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lastRenderedPageBreak/>
        <w:t>Članak 8.</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Zastava je omjera 1:2 (jedan naprama dva).</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Zastava je crvene boje, a na sredini se nalazi grb općine. Ispod grba nalazi se naziv Općine Brckovljani ispisan žutom bojom pisanim slovima.</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9.</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Zastava Općine Brckovljani može se isticati: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1. prigodom obilježavanja dana općine</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2. u vrijeme javnih skupova na području općine (kulturnih i sportskih i dr.) u skladu s pravilima i običajima održavanja takvih skupova</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3. prigodom održavanja sjednica općinskog vijeća</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4. u drugim prilikama ako njezina uporaba nije u suprotnosti s odredbama ove Odluke.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10.</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Izvornik zastave i grba čuva se u Uredu načelnika, a po jedan primjerak izvornika čuva se u Hrvatskom državnom arhivu.</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11.</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Kada se zastava Općine Brckovljani ističe uz zastavu Republike Hrvatske i zastavu Županije, zastava Republike Hrvatske nalazi se u sredini, a zastava Općine Brckovljani s lijeve strane, gledano od pročelja zgrade prema ulici.</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 IV. POSTUPNE ODREDBE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12.</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Pravne osobe podnose obrazložen zahtjev Općinskom poglavarstvu za uporabu grba ili zastave Općine Brckovljani i prilažu:</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1. akt o registraciji odnosno rješenje o samostalnoj obrtničkoj radnji</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2. opis namjena za koju će se grb ili zastava koristiti (ugradnja u proizvod, izrada suvenira, uporaba u službenim aktima i dr.)</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13.</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Općinsko </w:t>
      </w:r>
      <w:r>
        <w:rPr>
          <w:rStyle w:val="apple-converted-space"/>
          <w:rFonts w:ascii="Arial" w:hAnsi="Arial" w:cs="Arial"/>
          <w:color w:val="000000"/>
          <w:sz w:val="20"/>
          <w:szCs w:val="20"/>
        </w:rPr>
        <w:t> </w:t>
      </w:r>
      <w:r>
        <w:rPr>
          <w:rFonts w:ascii="Arial" w:hAnsi="Arial" w:cs="Arial"/>
          <w:color w:val="000000"/>
          <w:sz w:val="20"/>
          <w:szCs w:val="20"/>
        </w:rPr>
        <w:t>poglavarstvo najkasnije u roku 60 dana od dana podnošenja zahtjeva, donijet će Odluku o uporabi grba Općine Brckovljani pravnim osobama.</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 V. KAZNENE ODREDBE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14.</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Novčanom kaznom u iznosu od 1.000,00 kuna kaznit će se prekršaj pravna osoba ako se rabi grb ili zastava Općine Brckovljani suprotno odredbama ove Odluke. Novčanom kaznom u iznosu od 200,00 kuna kaznit će se za prekršaj:</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1. odgovorna osoba u pravnoj osobi koja je počinila prekršaj iz stavka 1. ovog članka</w:t>
      </w:r>
    </w:p>
    <w:p w:rsidR="004A61EC" w:rsidRDefault="004A61EC" w:rsidP="004A61EC">
      <w:pPr>
        <w:pStyle w:val="tekst"/>
        <w:spacing w:before="14" w:beforeAutospacing="0" w:after="14" w:afterAutospacing="0"/>
        <w:ind w:left="1155" w:right="951" w:hanging="204"/>
        <w:jc w:val="both"/>
        <w:rPr>
          <w:rFonts w:ascii="Arial" w:hAnsi="Arial" w:cs="Arial"/>
          <w:color w:val="000000"/>
          <w:sz w:val="20"/>
          <w:szCs w:val="20"/>
        </w:rPr>
      </w:pPr>
      <w:r>
        <w:rPr>
          <w:rFonts w:ascii="Arial" w:hAnsi="Arial" w:cs="Arial"/>
          <w:color w:val="000000"/>
          <w:sz w:val="20"/>
          <w:szCs w:val="20"/>
        </w:rPr>
        <w:t>2. fizička osoba koja rabi grb ili zastavu Općine Brckovljani suprotno odredbama ove Odluke.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15.</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Počinitelju prekršaja iz članka 13. ove Odluke izreći će se zaštitna mjera oduzimanja predmeta kojim je izvršen prekršaj. Ovlaštena službena osoba tijela nadležnog za unutarnje poslove može, prije nego je pokrenut prekršajni postupak, zaplijeniti predmete iz stavka 1. ovog članka. Zaplijenjeni predmeti moraju se odmah predati tijelu nadležnom za vođenje prekršajnog postupka.</w:t>
      </w:r>
    </w:p>
    <w:p w:rsidR="004A61EC" w:rsidRDefault="004A61EC" w:rsidP="004A61EC">
      <w:pPr>
        <w:pStyle w:val="naslovl"/>
        <w:spacing w:before="326" w:beforeAutospacing="0" w:after="217" w:afterAutospacing="0" w:line="217" w:lineRule="atLeast"/>
        <w:ind w:left="951" w:right="951"/>
        <w:rPr>
          <w:rFonts w:ascii="Arial" w:hAnsi="Arial" w:cs="Arial"/>
          <w:b/>
          <w:bCs/>
          <w:color w:val="000000"/>
          <w:sz w:val="20"/>
          <w:szCs w:val="20"/>
        </w:rPr>
      </w:pPr>
      <w:r>
        <w:rPr>
          <w:rFonts w:ascii="Arial" w:hAnsi="Arial" w:cs="Arial"/>
          <w:b/>
          <w:bCs/>
          <w:color w:val="000000"/>
          <w:sz w:val="20"/>
          <w:szCs w:val="20"/>
          <w:lang w:val="en-US"/>
        </w:rPr>
        <w:t>VI. PRIJELAZNE l ZAVRŠNE ODREDBE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lastRenderedPageBreak/>
        <w:t>Članak 16.</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Likovni prikaz grba i zastave Općine Brckovljani sastavni je dio ove Odluke.</w:t>
      </w:r>
    </w:p>
    <w:p w:rsidR="004A61EC" w:rsidRDefault="004A61EC" w:rsidP="004A61EC">
      <w:pPr>
        <w:pStyle w:val="naslovc"/>
        <w:spacing w:before="217" w:beforeAutospacing="0" w:after="109" w:afterAutospacing="0" w:line="217" w:lineRule="atLeast"/>
        <w:ind w:left="951" w:right="951"/>
        <w:jc w:val="center"/>
        <w:rPr>
          <w:rFonts w:ascii="Arial" w:hAnsi="Arial" w:cs="Arial"/>
          <w:b/>
          <w:bCs/>
          <w:color w:val="000000"/>
          <w:sz w:val="20"/>
          <w:szCs w:val="20"/>
        </w:rPr>
      </w:pPr>
      <w:r>
        <w:rPr>
          <w:rFonts w:ascii="Arial" w:hAnsi="Arial" w:cs="Arial"/>
          <w:b/>
          <w:bCs/>
          <w:color w:val="000000"/>
          <w:sz w:val="20"/>
          <w:szCs w:val="20"/>
        </w:rPr>
        <w:t>Članak 17.</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Ova Odluka stupa na snagu osmog dana od dana objave u Službenom glasniku Općine Brckovljani.</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 </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Klasa: 021-05/04-01/42</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Ur.broj: 238/04-04-03</w:t>
      </w:r>
    </w:p>
    <w:p w:rsidR="004A61EC" w:rsidRDefault="004A61EC" w:rsidP="004A61EC">
      <w:pPr>
        <w:pStyle w:val="tekst"/>
        <w:spacing w:before="14" w:beforeAutospacing="0" w:after="14" w:afterAutospacing="0"/>
        <w:ind w:left="951" w:right="951"/>
        <w:jc w:val="both"/>
        <w:rPr>
          <w:rFonts w:ascii="Arial" w:hAnsi="Arial" w:cs="Arial"/>
          <w:color w:val="000000"/>
          <w:sz w:val="20"/>
          <w:szCs w:val="20"/>
        </w:rPr>
      </w:pPr>
      <w:r>
        <w:rPr>
          <w:rFonts w:ascii="Arial" w:hAnsi="Arial" w:cs="Arial"/>
          <w:color w:val="000000"/>
          <w:sz w:val="20"/>
          <w:szCs w:val="20"/>
        </w:rPr>
        <w:t>Dugo Selo, 19.05.2004.</w:t>
      </w:r>
    </w:p>
    <w:p w:rsidR="004A61EC" w:rsidRDefault="004A61EC" w:rsidP="004A61EC">
      <w:pPr>
        <w:pStyle w:val="predsjednik"/>
        <w:spacing w:before="109" w:beforeAutospacing="0" w:after="109" w:afterAutospacing="0" w:line="217" w:lineRule="atLeast"/>
        <w:ind w:left="951" w:right="951"/>
        <w:jc w:val="right"/>
        <w:rPr>
          <w:rFonts w:ascii="Arial" w:hAnsi="Arial" w:cs="Arial"/>
          <w:color w:val="000000"/>
          <w:sz w:val="20"/>
          <w:szCs w:val="20"/>
        </w:rPr>
      </w:pPr>
      <w:r>
        <w:rPr>
          <w:rFonts w:ascii="Arial" w:hAnsi="Arial" w:cs="Arial"/>
          <w:color w:val="000000"/>
          <w:sz w:val="20"/>
          <w:szCs w:val="20"/>
        </w:rPr>
        <w:t>PREDSJEDNIK</w:t>
      </w:r>
      <w:r>
        <w:rPr>
          <w:rFonts w:ascii="Arial" w:hAnsi="Arial" w:cs="Arial"/>
          <w:color w:val="000000"/>
          <w:sz w:val="20"/>
          <w:szCs w:val="20"/>
        </w:rPr>
        <w:br/>
        <w:t>Općinskog Vijeća</w:t>
      </w:r>
      <w:r>
        <w:rPr>
          <w:rFonts w:ascii="Arial" w:hAnsi="Arial" w:cs="Arial"/>
          <w:color w:val="000000"/>
          <w:sz w:val="20"/>
          <w:szCs w:val="20"/>
        </w:rPr>
        <w:br/>
        <w:t>Općine Brckovljani</w:t>
      </w:r>
      <w:r>
        <w:rPr>
          <w:rFonts w:ascii="Arial" w:hAnsi="Arial" w:cs="Arial"/>
          <w:color w:val="000000"/>
          <w:sz w:val="20"/>
          <w:szCs w:val="20"/>
        </w:rPr>
        <w:br/>
      </w:r>
      <w:r>
        <w:rPr>
          <w:rFonts w:ascii="Arial" w:hAnsi="Arial" w:cs="Arial"/>
          <w:b/>
          <w:bCs/>
          <w:color w:val="000000"/>
          <w:sz w:val="20"/>
          <w:szCs w:val="20"/>
        </w:rPr>
        <w:t>Milan Kralj</w:t>
      </w:r>
    </w:p>
    <w:p w:rsidR="00E57E3B" w:rsidRDefault="00E57E3B"/>
    <w:sectPr w:rsidR="00E57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4A61EC"/>
    <w:rsid w:val="004A61EC"/>
    <w:rsid w:val="00E57E3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
    <w:name w:val="zaglavlje"/>
    <w:basedOn w:val="Normal"/>
    <w:rsid w:val="004A6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4A6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4A6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61EC"/>
  </w:style>
  <w:style w:type="paragraph" w:customStyle="1" w:styleId="tekst">
    <w:name w:val="tekst"/>
    <w:basedOn w:val="Normal"/>
    <w:rsid w:val="004A6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4A6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53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2016-07-19T19:46:00Z</dcterms:created>
  <dcterms:modified xsi:type="dcterms:W3CDTF">2016-07-19T19:46:00Z</dcterms:modified>
</cp:coreProperties>
</file>